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83" w:rsidRPr="00E43CF1" w:rsidRDefault="00385183" w:rsidP="00385183">
      <w:pPr>
        <w:ind w:right="283"/>
        <w:jc w:val="center"/>
        <w:rPr>
          <w:rFonts w:eastAsia="Calibri"/>
          <w:szCs w:val="24"/>
        </w:rPr>
      </w:pPr>
      <w:r w:rsidRPr="00E43CF1">
        <w:rPr>
          <w:rFonts w:eastAsia="Calibri"/>
          <w:caps/>
          <w:szCs w:val="24"/>
        </w:rPr>
        <w:t>Введение в репродуктивную эндокринологию</w:t>
      </w:r>
      <w:r w:rsidRPr="00E43CF1">
        <w:rPr>
          <w:rFonts w:eastAsia="Calibri"/>
          <w:szCs w:val="24"/>
        </w:rPr>
        <w:t xml:space="preserve"> </w:t>
      </w:r>
    </w:p>
    <w:p w:rsidR="00385183" w:rsidRDefault="00385183" w:rsidP="00385183">
      <w:pPr>
        <w:jc w:val="center"/>
        <w:rPr>
          <w:rFonts w:eastAsia="Calibri"/>
          <w:szCs w:val="24"/>
        </w:rPr>
      </w:pPr>
    </w:p>
    <w:p w:rsidR="00385183" w:rsidRDefault="00385183" w:rsidP="00385183">
      <w:pPr>
        <w:rPr>
          <w:rFonts w:eastAsia="Calibri"/>
          <w:b w:val="0"/>
          <w:szCs w:val="24"/>
        </w:rPr>
      </w:pPr>
      <w:r>
        <w:rPr>
          <w:rFonts w:eastAsia="Calibri"/>
          <w:szCs w:val="24"/>
        </w:rPr>
        <w:t xml:space="preserve">Цель занятий – </w:t>
      </w:r>
      <w:r w:rsidRPr="00385183">
        <w:rPr>
          <w:rFonts w:eastAsia="Calibri"/>
          <w:b w:val="0"/>
          <w:szCs w:val="24"/>
        </w:rPr>
        <w:t xml:space="preserve">углубленное изучение </w:t>
      </w:r>
      <w:r>
        <w:rPr>
          <w:rFonts w:eastAsia="Calibri"/>
          <w:b w:val="0"/>
          <w:szCs w:val="24"/>
        </w:rPr>
        <w:t>вопросов гормональной регуляции репродуктивной функции и основных механизмов ее нарушения.</w:t>
      </w:r>
    </w:p>
    <w:p w:rsidR="00385183" w:rsidRPr="00385183" w:rsidRDefault="00385183" w:rsidP="00385183">
      <w:pPr>
        <w:rPr>
          <w:rFonts w:eastAsia="Calibri"/>
          <w:b w:val="0"/>
          <w:szCs w:val="24"/>
        </w:rPr>
      </w:pPr>
      <w:bookmarkStart w:id="0" w:name="_GoBack"/>
      <w:bookmarkEnd w:id="0"/>
    </w:p>
    <w:p w:rsidR="00385183" w:rsidRPr="00E43CF1" w:rsidRDefault="00385183" w:rsidP="00385183">
      <w:pPr>
        <w:rPr>
          <w:rFonts w:eastAsia="Calibri"/>
          <w:szCs w:val="24"/>
        </w:rPr>
      </w:pPr>
      <w:r>
        <w:rPr>
          <w:rFonts w:eastAsia="Calibri"/>
          <w:szCs w:val="24"/>
        </w:rPr>
        <w:t>Содержание</w:t>
      </w:r>
    </w:p>
    <w:tbl>
      <w:tblPr>
        <w:tblW w:w="9263" w:type="dxa"/>
        <w:tblLayout w:type="fixed"/>
        <w:tblLook w:val="01E0" w:firstRow="1" w:lastRow="1" w:firstColumn="1" w:lastColumn="1" w:noHBand="0" w:noVBand="0"/>
      </w:tblPr>
      <w:tblGrid>
        <w:gridCol w:w="9263"/>
      </w:tblGrid>
      <w:tr w:rsidR="00385183" w:rsidRPr="00385183" w:rsidTr="00385183">
        <w:tc>
          <w:tcPr>
            <w:tcW w:w="9263" w:type="dxa"/>
          </w:tcPr>
          <w:p w:rsidR="00385183" w:rsidRPr="00385183" w:rsidRDefault="00385183" w:rsidP="00385183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b w:val="0"/>
                <w:szCs w:val="24"/>
              </w:rPr>
            </w:pPr>
            <w:r w:rsidRPr="00385183">
              <w:rPr>
                <w:rFonts w:eastAsia="Calibri"/>
                <w:b w:val="0"/>
                <w:szCs w:val="24"/>
              </w:rPr>
              <w:t>Регуляция функции репродуктивной системы</w:t>
            </w:r>
          </w:p>
        </w:tc>
      </w:tr>
      <w:tr w:rsidR="00385183" w:rsidRPr="00385183" w:rsidTr="00385183">
        <w:tc>
          <w:tcPr>
            <w:tcW w:w="9263" w:type="dxa"/>
          </w:tcPr>
          <w:p w:rsidR="00385183" w:rsidRPr="00385183" w:rsidRDefault="00385183" w:rsidP="00385183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b w:val="0"/>
                <w:szCs w:val="24"/>
              </w:rPr>
            </w:pPr>
            <w:r w:rsidRPr="00385183">
              <w:rPr>
                <w:rFonts w:eastAsia="Calibri"/>
                <w:b w:val="0"/>
                <w:szCs w:val="24"/>
              </w:rPr>
              <w:t xml:space="preserve">Функциональная морфология яичников. Регуляция </w:t>
            </w:r>
            <w:proofErr w:type="spellStart"/>
            <w:r w:rsidRPr="00385183">
              <w:rPr>
                <w:rFonts w:eastAsia="Calibri"/>
                <w:b w:val="0"/>
                <w:szCs w:val="24"/>
              </w:rPr>
              <w:t>фолликулогенеза</w:t>
            </w:r>
            <w:proofErr w:type="spellEnd"/>
            <w:r w:rsidRPr="00385183">
              <w:rPr>
                <w:rFonts w:eastAsia="Calibri"/>
                <w:b w:val="0"/>
                <w:szCs w:val="24"/>
              </w:rPr>
              <w:t>.</w:t>
            </w:r>
          </w:p>
        </w:tc>
      </w:tr>
      <w:tr w:rsidR="00385183" w:rsidRPr="00385183" w:rsidTr="00385183">
        <w:tc>
          <w:tcPr>
            <w:tcW w:w="9263" w:type="dxa"/>
          </w:tcPr>
          <w:p w:rsidR="00385183" w:rsidRPr="00385183" w:rsidRDefault="00385183" w:rsidP="00385183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b w:val="0"/>
                <w:szCs w:val="24"/>
              </w:rPr>
            </w:pPr>
            <w:r w:rsidRPr="00385183">
              <w:rPr>
                <w:rFonts w:eastAsia="Calibri"/>
                <w:b w:val="0"/>
                <w:szCs w:val="24"/>
              </w:rPr>
              <w:t xml:space="preserve">Половые стероидные гормоны. Гонадный и </w:t>
            </w:r>
            <w:proofErr w:type="spellStart"/>
            <w:r w:rsidRPr="00385183">
              <w:rPr>
                <w:rFonts w:eastAsia="Calibri"/>
                <w:b w:val="0"/>
                <w:szCs w:val="24"/>
              </w:rPr>
              <w:t>внегонадный</w:t>
            </w:r>
            <w:proofErr w:type="spellEnd"/>
            <w:r w:rsidRPr="00385183">
              <w:rPr>
                <w:rFonts w:eastAsia="Calibri"/>
                <w:b w:val="0"/>
                <w:szCs w:val="24"/>
              </w:rPr>
              <w:t xml:space="preserve"> синтез.</w:t>
            </w:r>
          </w:p>
        </w:tc>
      </w:tr>
      <w:tr w:rsidR="00385183" w:rsidRPr="00385183" w:rsidTr="00385183">
        <w:tc>
          <w:tcPr>
            <w:tcW w:w="9263" w:type="dxa"/>
          </w:tcPr>
          <w:p w:rsidR="00385183" w:rsidRPr="00385183" w:rsidRDefault="00385183" w:rsidP="00385183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b w:val="0"/>
                <w:szCs w:val="24"/>
              </w:rPr>
            </w:pPr>
            <w:r w:rsidRPr="00385183">
              <w:rPr>
                <w:rFonts w:eastAsia="Calibri"/>
                <w:b w:val="0"/>
                <w:szCs w:val="24"/>
              </w:rPr>
              <w:t>Эндометрий. Структура, регуляция циклических процессов.</w:t>
            </w:r>
          </w:p>
        </w:tc>
      </w:tr>
      <w:tr w:rsidR="00385183" w:rsidRPr="00385183" w:rsidTr="00385183">
        <w:tc>
          <w:tcPr>
            <w:tcW w:w="9263" w:type="dxa"/>
          </w:tcPr>
          <w:p w:rsidR="00385183" w:rsidRPr="00385183" w:rsidRDefault="00385183" w:rsidP="00385183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b w:val="0"/>
                <w:szCs w:val="24"/>
              </w:rPr>
            </w:pPr>
            <w:r w:rsidRPr="00385183">
              <w:rPr>
                <w:rFonts w:eastAsia="Calibri"/>
                <w:b w:val="0"/>
                <w:szCs w:val="24"/>
              </w:rPr>
              <w:t>Становление функции репродуктивной системы. Нарушения полового созревания.</w:t>
            </w:r>
          </w:p>
        </w:tc>
      </w:tr>
      <w:tr w:rsidR="00385183" w:rsidRPr="00385183" w:rsidTr="00385183">
        <w:tc>
          <w:tcPr>
            <w:tcW w:w="9263" w:type="dxa"/>
          </w:tcPr>
          <w:p w:rsidR="00385183" w:rsidRPr="00385183" w:rsidRDefault="00385183" w:rsidP="00385183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b w:val="0"/>
                <w:szCs w:val="24"/>
              </w:rPr>
            </w:pPr>
            <w:r w:rsidRPr="00385183">
              <w:rPr>
                <w:rFonts w:eastAsia="Calibri"/>
                <w:b w:val="0"/>
                <w:szCs w:val="24"/>
              </w:rPr>
              <w:t>Женская репродуктивная система в период инволюции.</w:t>
            </w:r>
          </w:p>
        </w:tc>
      </w:tr>
      <w:tr w:rsidR="00385183" w:rsidRPr="00385183" w:rsidTr="00385183">
        <w:tc>
          <w:tcPr>
            <w:tcW w:w="9263" w:type="dxa"/>
          </w:tcPr>
          <w:p w:rsidR="00385183" w:rsidRPr="00385183" w:rsidRDefault="00385183" w:rsidP="00385183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b w:val="0"/>
                <w:szCs w:val="24"/>
              </w:rPr>
            </w:pPr>
            <w:r w:rsidRPr="00385183">
              <w:rPr>
                <w:rFonts w:eastAsia="Calibri"/>
                <w:b w:val="0"/>
                <w:szCs w:val="24"/>
              </w:rPr>
              <w:t>Современные методы диагностики функционального состояния репродуктивной системы.</w:t>
            </w:r>
          </w:p>
        </w:tc>
      </w:tr>
      <w:tr w:rsidR="00385183" w:rsidRPr="00385183" w:rsidTr="00385183">
        <w:tc>
          <w:tcPr>
            <w:tcW w:w="9263" w:type="dxa"/>
          </w:tcPr>
          <w:p w:rsidR="00385183" w:rsidRPr="00385183" w:rsidRDefault="00385183" w:rsidP="00385183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b w:val="0"/>
                <w:szCs w:val="24"/>
              </w:rPr>
            </w:pPr>
            <w:r w:rsidRPr="00385183">
              <w:rPr>
                <w:rFonts w:eastAsia="Calibri"/>
                <w:b w:val="0"/>
                <w:szCs w:val="24"/>
              </w:rPr>
              <w:t>Влияние заболеваний щитовидной железы на фертильность.</w:t>
            </w:r>
          </w:p>
        </w:tc>
      </w:tr>
      <w:tr w:rsidR="00385183" w:rsidRPr="00385183" w:rsidTr="00385183">
        <w:tc>
          <w:tcPr>
            <w:tcW w:w="9263" w:type="dxa"/>
          </w:tcPr>
          <w:p w:rsidR="00385183" w:rsidRPr="00385183" w:rsidRDefault="00385183" w:rsidP="00385183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b w:val="0"/>
                <w:szCs w:val="24"/>
              </w:rPr>
            </w:pPr>
            <w:proofErr w:type="spellStart"/>
            <w:r w:rsidRPr="00385183">
              <w:rPr>
                <w:rFonts w:eastAsia="Calibri"/>
                <w:b w:val="0"/>
                <w:szCs w:val="24"/>
              </w:rPr>
              <w:t>Гиперпролактинемия</w:t>
            </w:r>
            <w:proofErr w:type="spellEnd"/>
            <w:r w:rsidRPr="00385183">
              <w:rPr>
                <w:rFonts w:eastAsia="Calibri"/>
                <w:b w:val="0"/>
                <w:szCs w:val="24"/>
              </w:rPr>
              <w:t>.</w:t>
            </w:r>
          </w:p>
        </w:tc>
      </w:tr>
      <w:tr w:rsidR="00385183" w:rsidRPr="00385183" w:rsidTr="00385183">
        <w:tc>
          <w:tcPr>
            <w:tcW w:w="9263" w:type="dxa"/>
          </w:tcPr>
          <w:p w:rsidR="00385183" w:rsidRPr="00385183" w:rsidRDefault="00385183" w:rsidP="00385183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b w:val="0"/>
                <w:szCs w:val="24"/>
              </w:rPr>
            </w:pPr>
            <w:proofErr w:type="spellStart"/>
            <w:r w:rsidRPr="00385183">
              <w:rPr>
                <w:rFonts w:eastAsia="Calibri"/>
                <w:b w:val="0"/>
                <w:szCs w:val="24"/>
              </w:rPr>
              <w:t>Гиперандрогенемия</w:t>
            </w:r>
            <w:proofErr w:type="spellEnd"/>
          </w:p>
        </w:tc>
      </w:tr>
      <w:tr w:rsidR="00385183" w:rsidRPr="00385183" w:rsidTr="00385183">
        <w:tc>
          <w:tcPr>
            <w:tcW w:w="9263" w:type="dxa"/>
          </w:tcPr>
          <w:p w:rsidR="00385183" w:rsidRPr="00385183" w:rsidRDefault="00385183" w:rsidP="00385183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b w:val="0"/>
                <w:szCs w:val="24"/>
              </w:rPr>
            </w:pPr>
            <w:r w:rsidRPr="00385183">
              <w:rPr>
                <w:rFonts w:eastAsia="Calibri"/>
                <w:b w:val="0"/>
                <w:szCs w:val="24"/>
              </w:rPr>
              <w:t xml:space="preserve">Роль абсолютной и относительной </w:t>
            </w:r>
            <w:proofErr w:type="spellStart"/>
            <w:r w:rsidRPr="00385183">
              <w:rPr>
                <w:rFonts w:eastAsia="Calibri"/>
                <w:b w:val="0"/>
                <w:szCs w:val="24"/>
              </w:rPr>
              <w:t>гиперэстрогенемии</w:t>
            </w:r>
            <w:proofErr w:type="spellEnd"/>
            <w:r w:rsidRPr="00385183">
              <w:rPr>
                <w:rFonts w:eastAsia="Calibri"/>
                <w:b w:val="0"/>
                <w:szCs w:val="24"/>
              </w:rPr>
              <w:t xml:space="preserve"> в развитии патологических состояний органов репродуктивной системы.</w:t>
            </w:r>
          </w:p>
        </w:tc>
      </w:tr>
      <w:tr w:rsidR="00385183" w:rsidRPr="00385183" w:rsidTr="00385183">
        <w:tc>
          <w:tcPr>
            <w:tcW w:w="9263" w:type="dxa"/>
          </w:tcPr>
          <w:p w:rsidR="00385183" w:rsidRPr="00385183" w:rsidRDefault="00385183" w:rsidP="00385183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b w:val="0"/>
                <w:szCs w:val="24"/>
              </w:rPr>
            </w:pPr>
            <w:r w:rsidRPr="00385183">
              <w:rPr>
                <w:rFonts w:eastAsia="Calibri"/>
                <w:b w:val="0"/>
                <w:szCs w:val="24"/>
              </w:rPr>
              <w:t>Генетические исследования в репродуктивной эндокринологии.</w:t>
            </w:r>
          </w:p>
          <w:p w:rsidR="00385183" w:rsidRPr="00385183" w:rsidRDefault="00385183" w:rsidP="00A07E9A">
            <w:pPr>
              <w:ind w:firstLine="708"/>
              <w:jc w:val="both"/>
              <w:rPr>
                <w:rFonts w:eastAsia="Calibri"/>
                <w:b w:val="0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89" w:tblpY="226"/>
        <w:tblW w:w="14003" w:type="dxa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3450"/>
        <w:gridCol w:w="3818"/>
        <w:gridCol w:w="1098"/>
      </w:tblGrid>
      <w:tr w:rsidR="00385183" w:rsidRPr="00385183" w:rsidTr="00385183">
        <w:trPr>
          <w:trHeight w:val="315"/>
        </w:trPr>
        <w:tc>
          <w:tcPr>
            <w:tcW w:w="14003" w:type="dxa"/>
            <w:gridSpan w:val="6"/>
            <w:noWrap/>
            <w:vAlign w:val="bottom"/>
            <w:hideMark/>
          </w:tcPr>
          <w:p w:rsidR="00385183" w:rsidRPr="00385183" w:rsidRDefault="00385183" w:rsidP="00A07E9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385183">
              <w:rPr>
                <w:rFonts w:eastAsia="Calibri"/>
                <w:b w:val="0"/>
                <w:color w:val="000000"/>
                <w:sz w:val="22"/>
                <w:szCs w:val="22"/>
              </w:rPr>
              <w:t>Разработчик рабочей программы и преподаватель</w:t>
            </w:r>
          </w:p>
        </w:tc>
      </w:tr>
      <w:tr w:rsidR="00385183" w:rsidRPr="00385183" w:rsidTr="00385183">
        <w:trPr>
          <w:gridAfter w:val="1"/>
          <w:wAfter w:w="1098" w:type="dxa"/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183" w:rsidRPr="00385183" w:rsidRDefault="00385183" w:rsidP="00A07E9A">
            <w:pPr>
              <w:ind w:left="180"/>
              <w:jc w:val="center"/>
              <w:rPr>
                <w:rFonts w:eastAsia="Calibri"/>
                <w:b w:val="0"/>
                <w:color w:val="000000"/>
                <w:sz w:val="20"/>
              </w:rPr>
            </w:pPr>
            <w:r w:rsidRPr="00385183">
              <w:rPr>
                <w:rFonts w:eastAsia="Calibri"/>
                <w:b w:val="0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83" w:rsidRPr="00385183" w:rsidRDefault="00385183" w:rsidP="00A07E9A">
            <w:pPr>
              <w:jc w:val="center"/>
              <w:rPr>
                <w:rFonts w:eastAsia="Calibri"/>
                <w:b w:val="0"/>
                <w:color w:val="000000"/>
                <w:sz w:val="20"/>
              </w:rPr>
            </w:pPr>
            <w:r w:rsidRPr="00385183">
              <w:rPr>
                <w:rFonts w:eastAsia="Calibri"/>
                <w:b w:val="0"/>
                <w:color w:val="000000"/>
                <w:sz w:val="20"/>
              </w:rPr>
              <w:t xml:space="preserve">Учёная </w:t>
            </w:r>
            <w:r w:rsidRPr="00385183">
              <w:rPr>
                <w:rFonts w:eastAsia="Calibri"/>
                <w:b w:val="0"/>
                <w:color w:val="000000"/>
                <w:sz w:val="20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83" w:rsidRPr="00385183" w:rsidRDefault="00385183" w:rsidP="00A07E9A">
            <w:pPr>
              <w:jc w:val="center"/>
              <w:rPr>
                <w:rFonts w:eastAsia="Calibri"/>
                <w:b w:val="0"/>
                <w:color w:val="000000"/>
                <w:sz w:val="20"/>
              </w:rPr>
            </w:pPr>
            <w:r w:rsidRPr="00385183">
              <w:rPr>
                <w:rFonts w:eastAsia="Calibri"/>
                <w:b w:val="0"/>
                <w:color w:val="000000"/>
                <w:sz w:val="20"/>
              </w:rPr>
              <w:t xml:space="preserve">Учёное </w:t>
            </w:r>
            <w:r w:rsidRPr="00385183">
              <w:rPr>
                <w:rFonts w:eastAsia="Calibri"/>
                <w:b w:val="0"/>
                <w:color w:val="000000"/>
                <w:sz w:val="20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5183" w:rsidRPr="00385183" w:rsidRDefault="00385183" w:rsidP="00A07E9A">
            <w:pPr>
              <w:jc w:val="center"/>
              <w:rPr>
                <w:rFonts w:eastAsia="Calibri"/>
                <w:b w:val="0"/>
                <w:color w:val="000000"/>
                <w:sz w:val="20"/>
              </w:rPr>
            </w:pPr>
            <w:r w:rsidRPr="00385183">
              <w:rPr>
                <w:rFonts w:eastAsia="Calibri"/>
                <w:b w:val="0"/>
                <w:color w:val="000000"/>
                <w:sz w:val="20"/>
              </w:rPr>
              <w:t>Должность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83" w:rsidRPr="00385183" w:rsidRDefault="00385183" w:rsidP="00A07E9A">
            <w:pPr>
              <w:ind w:right="834"/>
              <w:jc w:val="center"/>
              <w:rPr>
                <w:rFonts w:eastAsia="Calibri"/>
                <w:b w:val="0"/>
                <w:color w:val="000000"/>
                <w:sz w:val="20"/>
              </w:rPr>
            </w:pPr>
            <w:r w:rsidRPr="00385183">
              <w:rPr>
                <w:rFonts w:eastAsia="Calibri"/>
                <w:b w:val="0"/>
                <w:color w:val="000000"/>
                <w:sz w:val="20"/>
              </w:rPr>
              <w:t xml:space="preserve">Контактная информация </w:t>
            </w:r>
            <w:r w:rsidRPr="00385183">
              <w:rPr>
                <w:rFonts w:eastAsia="Calibri"/>
                <w:b w:val="0"/>
                <w:color w:val="000000"/>
                <w:sz w:val="20"/>
              </w:rPr>
              <w:br/>
              <w:t>(служебный адрес электронной почты, служебный телефон)</w:t>
            </w:r>
          </w:p>
        </w:tc>
      </w:tr>
      <w:tr w:rsidR="00385183" w:rsidRPr="00385183" w:rsidTr="00385183">
        <w:trPr>
          <w:gridAfter w:val="1"/>
          <w:wAfter w:w="1098" w:type="dxa"/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183" w:rsidRPr="00385183" w:rsidRDefault="00385183" w:rsidP="00A07E9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</w:rPr>
              <w:t>Джемлиханова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</w:rPr>
              <w:t>Ляиля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</w:rPr>
              <w:t>Харрясовна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183" w:rsidRPr="00385183" w:rsidRDefault="00385183" w:rsidP="00A07E9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>к</w:t>
            </w:r>
            <w:r w:rsidRPr="00385183">
              <w:rPr>
                <w:rFonts w:eastAsia="Calibri"/>
                <w:b w:val="0"/>
                <w:color w:val="000000"/>
                <w:sz w:val="22"/>
                <w:szCs w:val="22"/>
              </w:rPr>
              <w:t>.м.н.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183" w:rsidRPr="00385183" w:rsidRDefault="00385183" w:rsidP="00A07E9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5183" w:rsidRPr="00385183" w:rsidRDefault="00385183" w:rsidP="00385183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>доцент</w:t>
            </w:r>
            <w:r w:rsidRPr="00385183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кафедры 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акушерства, гинекологии и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</w:rPr>
              <w:t>репродуктологии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183" w:rsidRPr="00385183" w:rsidRDefault="00385183" w:rsidP="00A07E9A">
            <w:pPr>
              <w:ind w:right="834"/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</w:p>
        </w:tc>
      </w:tr>
    </w:tbl>
    <w:p w:rsidR="00385183" w:rsidRDefault="00385183" w:rsidP="00385183">
      <w:pPr>
        <w:rPr>
          <w:rFonts w:eastAsia="Calibri"/>
          <w:b w:val="0"/>
          <w:sz w:val="28"/>
          <w:szCs w:val="24"/>
          <w:u w:val="single"/>
        </w:rPr>
      </w:pPr>
    </w:p>
    <w:p w:rsidR="00385183" w:rsidRDefault="00385183" w:rsidP="00385183">
      <w:pPr>
        <w:rPr>
          <w:rFonts w:eastAsia="Calibri"/>
          <w:b w:val="0"/>
          <w:sz w:val="28"/>
          <w:szCs w:val="24"/>
          <w:u w:val="single"/>
        </w:rPr>
      </w:pPr>
    </w:p>
    <w:p w:rsidR="00EB77B6" w:rsidRDefault="00EB77B6"/>
    <w:sectPr w:rsidR="00EB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3A0A"/>
    <w:multiLevelType w:val="hybridMultilevel"/>
    <w:tmpl w:val="8A8C7D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2242AC"/>
    <w:multiLevelType w:val="hybridMultilevel"/>
    <w:tmpl w:val="0A1E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B6"/>
    <w:rsid w:val="00385183"/>
    <w:rsid w:val="00E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8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8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2016-04-27T19:11:00Z</dcterms:created>
  <dcterms:modified xsi:type="dcterms:W3CDTF">2016-04-27T19:11:00Z</dcterms:modified>
</cp:coreProperties>
</file>