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318D" w14:textId="77777777" w:rsidR="00F12420" w:rsidRDefault="00F12420" w:rsidP="00F12420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«Поликлиническая терапия»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043EAB38" w14:textId="77777777" w:rsidR="00F12420" w:rsidRDefault="00F12420" w:rsidP="00F124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«Поликлиническая </w:t>
      </w:r>
      <w:proofErr w:type="spellStart"/>
      <w:proofErr w:type="gramStart"/>
      <w:r>
        <w:rPr>
          <w:b/>
          <w:bCs/>
          <w:sz w:val="22"/>
          <w:szCs w:val="22"/>
        </w:rPr>
        <w:t>терапия»для</w:t>
      </w:r>
      <w:proofErr w:type="spellEnd"/>
      <w:proofErr w:type="gramEnd"/>
      <w:r>
        <w:rPr>
          <w:b/>
          <w:bCs/>
          <w:sz w:val="22"/>
          <w:szCs w:val="22"/>
        </w:rPr>
        <w:t xml:space="preserve"> студентов 6 курса 2020/21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"/>
        <w:gridCol w:w="9468"/>
      </w:tblGrid>
      <w:tr w:rsidR="00F12420" w14:paraId="271F05D9" w14:textId="77777777" w:rsidTr="00F12420">
        <w:trPr>
          <w:trHeight w:val="24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B3146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E3188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 практического занятия</w:t>
            </w:r>
          </w:p>
        </w:tc>
      </w:tr>
      <w:tr w:rsidR="00F12420" w14:paraId="2E9C966B" w14:textId="77777777" w:rsidTr="00F12420">
        <w:trPr>
          <w:trHeight w:val="6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2EB2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C4CD7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Задачи и функции участкового врача-терапевта. </w:t>
            </w:r>
            <w:r>
              <w:rPr>
                <w:rFonts w:ascii="Times New Roman" w:hAnsi="Times New Roman"/>
              </w:rPr>
              <w:t xml:space="preserve">Организация работы структурных подразделений поликлиники. Экспертиза временной и стойкой утраты трудоспособности. Принципы формирования индивидуальных программ </w:t>
            </w:r>
            <w:proofErr w:type="gramStart"/>
            <w:r>
              <w:rPr>
                <w:rFonts w:ascii="Times New Roman" w:hAnsi="Times New Roman"/>
              </w:rPr>
              <w:t>реабилитации..</w:t>
            </w:r>
            <w:proofErr w:type="gramEnd"/>
          </w:p>
        </w:tc>
      </w:tr>
      <w:tr w:rsidR="00F12420" w14:paraId="51FD51A8" w14:textId="77777777" w:rsidTr="00F12420">
        <w:trPr>
          <w:trHeight w:val="110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5732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E836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Особенности течения, лечения соматических заболеваний в пожилом и старческом возрасте. </w:t>
            </w:r>
            <w:r>
              <w:rPr>
                <w:rFonts w:ascii="Times New Roman" w:hAnsi="Times New Roman"/>
              </w:rPr>
              <w:t xml:space="preserve">Диспансерное наблюдение пациентов в  пожилом и старческом возрасте. Общие вопросы профилактики и укрепления здоровья. Общие принципы обучения и консультирования пациентов.  Профилактика социально-значимых инфекционных заболеваний. Актуальные вопросы профилактики хронических неинфекционных заболеваний. Диспансеризация населения в соответствии с Национальным проектом. </w:t>
            </w:r>
          </w:p>
        </w:tc>
      </w:tr>
      <w:tr w:rsidR="00F12420" w14:paraId="45BAF461" w14:textId="77777777" w:rsidTr="00F12420">
        <w:trPr>
          <w:trHeight w:val="6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28566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4A56B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Острые аллергические реакции: </w:t>
            </w:r>
            <w:r>
              <w:rPr>
                <w:rFonts w:ascii="Times New Roman" w:hAnsi="Times New Roman"/>
              </w:rPr>
              <w:t xml:space="preserve">крапивница, отек Квинке, Анафилактический шок, Ангионевротический отек, Синдромы Стивена-Джонсона и </w:t>
            </w:r>
            <w:proofErr w:type="spellStart"/>
            <w:r>
              <w:rPr>
                <w:rFonts w:ascii="Times New Roman" w:hAnsi="Times New Roman"/>
              </w:rPr>
              <w:t>Лайела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>, клиника, неотложная помощь, плановое поликлиническое лечение, профилактика</w:t>
            </w:r>
          </w:p>
        </w:tc>
      </w:tr>
      <w:tr w:rsidR="00F12420" w14:paraId="3B7A9074" w14:textId="77777777" w:rsidTr="00F12420">
        <w:trPr>
          <w:trHeight w:val="88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067B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5CF9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Особенности функциональной диагностики заболеваний внутренних органов на поликлиническом этапе: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функциональные  нагрузочные</w:t>
            </w:r>
            <w:proofErr w:type="gramEnd"/>
            <w:r>
              <w:rPr>
                <w:rFonts w:ascii="Times New Roman" w:hAnsi="Times New Roman"/>
              </w:rPr>
              <w:t xml:space="preserve"> пробы для тестирования патологии сердечно-сосудистой, дыхательной и пищеварительной систем. Возможности функциональной диагностики в практике участкового врача терапевта.</w:t>
            </w:r>
          </w:p>
        </w:tc>
      </w:tr>
      <w:tr w:rsidR="00F12420" w14:paraId="34611B45" w14:textId="77777777" w:rsidTr="00F12420">
        <w:trPr>
          <w:trHeight w:val="110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47D5E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A6714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Субфебрилитет и лихорадочный синдром в практике врача-терапевта поликлиники.</w:t>
            </w:r>
            <w:r>
              <w:rPr>
                <w:rFonts w:ascii="Times New Roman" w:hAnsi="Times New Roman"/>
              </w:rPr>
              <w:t xml:space="preserve"> Возможности дифференциальной диагностики заболеваний внутренних органов, протекающих с повышением температуры (терапевтические, хирургические, инфекционные, эпидемиологические аспекты), Принципы диагностики на догоспитальном этапе. Тактика амбулаторного ведения больных. Показания для госпитализации, антибиотикотерапии. Диспансерное наблюдение за различными категориями больных. </w:t>
            </w:r>
          </w:p>
        </w:tc>
      </w:tr>
      <w:tr w:rsidR="00F12420" w14:paraId="3A12E99F" w14:textId="77777777" w:rsidTr="00F12420">
        <w:trPr>
          <w:trHeight w:val="110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FF7F7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86A9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Тактика ведения на поликлиническом этапе заболеваний, протекающих с отёчным синдромом.</w:t>
            </w:r>
            <w:r>
              <w:rPr>
                <w:rFonts w:ascii="Times New Roman" w:hAnsi="Times New Roman"/>
              </w:rPr>
              <w:t xml:space="preserve"> Принципы дифференциальной диагностики, роль хронической сердечной недостаточности по левожелудочковому и правожелудочковому типам</w:t>
            </w:r>
            <w:proofErr w:type="gramStart"/>
            <w:r>
              <w:rPr>
                <w:rFonts w:ascii="Times New Roman" w:hAnsi="Times New Roman"/>
              </w:rPr>
              <w:t>, .</w:t>
            </w:r>
            <w:proofErr w:type="gramEnd"/>
            <w:r>
              <w:rPr>
                <w:rFonts w:ascii="Times New Roman" w:hAnsi="Times New Roman"/>
              </w:rPr>
              <w:t xml:space="preserve"> Принципы терапии в зависимости от причины и особенностей течения заболеваний. Терапия в амбулаторных условиях.  Показания для госпитализации. Диспансерное наблюдение. Взаимодействие с флебологом, гинекологом, эндокринологом, кардиологом</w:t>
            </w:r>
          </w:p>
        </w:tc>
      </w:tr>
      <w:tr w:rsidR="00F12420" w14:paraId="2F828AB5" w14:textId="77777777" w:rsidTr="00F12420">
        <w:trPr>
          <w:trHeight w:val="44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945A4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165FD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Артериальные гипотонии в практике участкового врача. </w:t>
            </w:r>
            <w:r>
              <w:rPr>
                <w:rFonts w:ascii="Times New Roman" w:hAnsi="Times New Roman"/>
              </w:rPr>
              <w:t>Причины. Дифференциальный диагноз Клинические проявления. План обследования больного. Лечебная тактика. Диспансерное  наблюдение.</w:t>
            </w:r>
          </w:p>
        </w:tc>
      </w:tr>
      <w:tr w:rsidR="00F12420" w14:paraId="6DF84B31" w14:textId="77777777" w:rsidTr="00F12420">
        <w:trPr>
          <w:trHeight w:val="132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0C88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A1E4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Тактика амбулаторного ведения суставного синдрома участковым врачом-терапевтом. </w:t>
            </w:r>
            <w:r>
              <w:rPr>
                <w:rFonts w:ascii="Times New Roman" w:hAnsi="Times New Roman"/>
              </w:rPr>
              <w:t xml:space="preserve">Дифференциальная диагностика суставного синдрома в амбулаторных условиях. Острая ревматическая лихорадка и хроническая ревматическая болезнь сердца: варианты течения заболевания.  Особенности клинических проявлений активности ревматического процесса у больных среднего и пожилого возраста. Первичная и вторичная профилактика ревматизма. Принципы диспансерного наблюдения и </w:t>
            </w:r>
            <w:proofErr w:type="spellStart"/>
            <w:r>
              <w:rPr>
                <w:rFonts w:ascii="Times New Roman" w:hAnsi="Times New Roman"/>
              </w:rPr>
              <w:t>противорецидивной</w:t>
            </w:r>
            <w:proofErr w:type="spellEnd"/>
            <w:r>
              <w:rPr>
                <w:rFonts w:ascii="Times New Roman" w:hAnsi="Times New Roman"/>
              </w:rPr>
              <w:t xml:space="preserve"> терапии. </w:t>
            </w:r>
          </w:p>
        </w:tc>
      </w:tr>
      <w:tr w:rsidR="00F12420" w14:paraId="27917867" w14:textId="77777777" w:rsidTr="00F12420">
        <w:trPr>
          <w:trHeight w:val="110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98CD0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BE4B4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Особенности поликлинического ведения пациентов с мочевым синдромом</w:t>
            </w:r>
            <w:r>
              <w:rPr>
                <w:rFonts w:ascii="Times New Roman" w:hAnsi="Times New Roman"/>
              </w:rPr>
              <w:t xml:space="preserve">, характерным для воспалительных и не воспалительных заболеваний почек и мочевыводящих путей. Дифференциальный диагноз хронического пиелонефрита. Заболевания, сопровождающиеся нефротическим синдромом, синдромами гематурии, олигурии, анурии: тактика участкового врача. Ранняя диагностика опухолевых и воспалительных  заболеваний. Профилактика, принципы диспансерного наблюдения. </w:t>
            </w:r>
          </w:p>
        </w:tc>
      </w:tr>
      <w:tr w:rsidR="00F12420" w14:paraId="72FCC905" w14:textId="77777777" w:rsidTr="00F12420">
        <w:trPr>
          <w:trHeight w:val="6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C4F0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E389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Кардиалгии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в практике поликлинического врача:</w:t>
            </w:r>
            <w:r>
              <w:rPr>
                <w:rFonts w:ascii="Times New Roman" w:hAnsi="Times New Roman"/>
              </w:rPr>
              <w:t xml:space="preserve"> тактика ведения при стабильном течении и при острых коронарных синдромах; кардиологические, неврологические, пульмонологические, гастроэнтерологические, хирургические аспекты диагностики </w:t>
            </w:r>
            <w:proofErr w:type="gramStart"/>
            <w:r>
              <w:rPr>
                <w:rFonts w:ascii="Times New Roman" w:hAnsi="Times New Roman"/>
              </w:rPr>
              <w:t>и  ведения</w:t>
            </w:r>
            <w:proofErr w:type="gramEnd"/>
            <w:r>
              <w:rPr>
                <w:rFonts w:ascii="Times New Roman" w:hAnsi="Times New Roman"/>
              </w:rPr>
              <w:t>. .</w:t>
            </w:r>
          </w:p>
        </w:tc>
      </w:tr>
      <w:tr w:rsidR="00F12420" w14:paraId="48EFEC36" w14:textId="77777777" w:rsidTr="00F12420">
        <w:trPr>
          <w:trHeight w:val="22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C53E" w14:textId="77777777" w:rsidR="00F12420" w:rsidRDefault="00F12420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3C240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Итоговое занятие по Поликлинической терапии. Зачет</w:t>
            </w:r>
          </w:p>
        </w:tc>
      </w:tr>
    </w:tbl>
    <w:p w14:paraId="3745C117" w14:textId="77777777" w:rsidR="00F12420" w:rsidRDefault="00F12420" w:rsidP="00F12420">
      <w:pPr>
        <w:jc w:val="center"/>
        <w:rPr>
          <w:sz w:val="22"/>
          <w:szCs w:val="22"/>
        </w:rPr>
      </w:pPr>
    </w:p>
    <w:p w14:paraId="0A0D514C" w14:textId="77777777" w:rsidR="00F12420" w:rsidRDefault="00F12420" w:rsidP="00F12420">
      <w:pPr>
        <w:jc w:val="center"/>
        <w:rPr>
          <w:sz w:val="22"/>
          <w:szCs w:val="22"/>
        </w:rPr>
      </w:pPr>
    </w:p>
    <w:p w14:paraId="3BF47E17" w14:textId="77777777" w:rsidR="00F12420" w:rsidRDefault="00F12420" w:rsidP="00F12420">
      <w:pPr>
        <w:jc w:val="center"/>
        <w:rPr>
          <w:sz w:val="22"/>
          <w:szCs w:val="22"/>
        </w:rPr>
      </w:pPr>
    </w:p>
    <w:p w14:paraId="2D961C03" w14:textId="77777777" w:rsidR="00F12420" w:rsidRDefault="00F12420" w:rsidP="00F12420">
      <w:pPr>
        <w:jc w:val="center"/>
        <w:rPr>
          <w:sz w:val="22"/>
          <w:szCs w:val="22"/>
        </w:rPr>
      </w:pPr>
    </w:p>
    <w:p w14:paraId="72BD68E4" w14:textId="77777777" w:rsidR="00F12420" w:rsidRDefault="00F12420" w:rsidP="00F12420">
      <w:pPr>
        <w:jc w:val="center"/>
        <w:rPr>
          <w:sz w:val="22"/>
          <w:szCs w:val="22"/>
        </w:rPr>
      </w:pPr>
    </w:p>
    <w:p w14:paraId="676DEFCE" w14:textId="77777777" w:rsidR="00F12420" w:rsidRDefault="00F12420" w:rsidP="00F12420">
      <w:pPr>
        <w:jc w:val="center"/>
        <w:rPr>
          <w:sz w:val="22"/>
          <w:szCs w:val="22"/>
        </w:rPr>
      </w:pPr>
    </w:p>
    <w:p w14:paraId="7F95B123" w14:textId="77777777" w:rsidR="00F12420" w:rsidRDefault="00F12420" w:rsidP="00F1242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lastRenderedPageBreak/>
        <w:t xml:space="preserve">Цикл: Поликлиническая терапия 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9"/>
        <w:gridCol w:w="2256"/>
        <w:gridCol w:w="3272"/>
        <w:gridCol w:w="3200"/>
      </w:tblGrid>
      <w:tr w:rsidR="00F12420" w14:paraId="184A9DCB" w14:textId="77777777" w:rsidTr="008413DB">
        <w:trPr>
          <w:trHeight w:val="22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7CDC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C22F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831A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6A37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12420" w14:paraId="04B3843A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4381C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948F7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30.10.2020-12.11.2020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0E773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C0334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0103AA93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1702D861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448BC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74B51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19.10.2020-30.10.2020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1361E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18FA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2319273B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763A6332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3C1D3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AB85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20.11.2020-02.12.2020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EE6D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E8EA8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0D93B2AE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01319C5F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78E4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82E4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01.09.2020-12.09.2020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84A49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83BF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22891D31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146432E3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AB7F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0FCF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15.09.2020-26.09.2020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7A5A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995BB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23A1E1E7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103D0B55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EB61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DBEE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05.10.2020-16.10.2020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BFE52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866DC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60BEBBF2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25E0D429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87C3F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317D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15.09.2020-26.09.2020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E4F85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D6342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07D58876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  <w:tr w:rsidR="00F12420" w14:paraId="3E849F13" w14:textId="77777777" w:rsidTr="008413DB">
        <w:trPr>
          <w:trHeight w:val="442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F2B3" w14:textId="77777777" w:rsidR="00F12420" w:rsidRDefault="00F12420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693A5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07.10.2020-19.10.2020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AF9E2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СПБ ГУЗ «Городская поликлиника № 34», ул. </w:t>
            </w:r>
            <w:proofErr w:type="spellStart"/>
            <w:r>
              <w:rPr>
                <w:rFonts w:ascii="Times New Roman" w:hAnsi="Times New Roman"/>
              </w:rPr>
              <w:t>Зверинская</w:t>
            </w:r>
            <w:proofErr w:type="spellEnd"/>
            <w:r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1DE2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" w:hAnsi="Times New Roman"/>
              </w:rPr>
              <w:t>Шункевич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  <w:p w14:paraId="6F342537" w14:textId="77777777" w:rsidR="00F12420" w:rsidRDefault="00F12420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89117005740)</w:t>
            </w:r>
          </w:p>
        </w:tc>
      </w:tr>
    </w:tbl>
    <w:p w14:paraId="00D76B8E" w14:textId="77777777" w:rsidR="008413DB" w:rsidRDefault="008413DB" w:rsidP="008413D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 w:rsidRPr="00CE06EA">
        <w:rPr>
          <w:rFonts w:ascii="Times New Roman" w:eastAsia="Times New Roman CYR" w:hAnsi="Times New Roman" w:cs="Times New Roman"/>
          <w:sz w:val="20"/>
          <w:szCs w:val="20"/>
        </w:rPr>
        <w:t>с</w:t>
      </w:r>
      <w:proofErr w:type="gramEnd"/>
      <w:r w:rsidRPr="00CE06EA">
        <w:rPr>
          <w:rFonts w:ascii="Times New Roman" w:eastAsia="Times New Roman CYR" w:hAnsi="Times New Roman" w:cs="Times New Roman"/>
          <w:sz w:val="20"/>
          <w:szCs w:val="20"/>
        </w:rPr>
        <w:t xml:space="preserve"> 09:00 до 14:20 час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 ежедневно, включая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субботу  на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клинической базе кафедры</w:t>
      </w:r>
    </w:p>
    <w:p w14:paraId="6345DD48" w14:textId="77777777" w:rsidR="00F12420" w:rsidRDefault="00F12420" w:rsidP="00F1242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5E36A7F" w14:textId="77777777" w:rsidR="00F12420" w:rsidRPr="00F12420" w:rsidRDefault="00F12420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Times New Roman" w:hAnsiTheme="minorHAnsi" w:cs="Times New Roman"/>
          <w:sz w:val="20"/>
          <w:szCs w:val="20"/>
          <w:u w:color="000000"/>
        </w:rPr>
      </w:pPr>
    </w:p>
    <w:sectPr w:rsidR="00F12420" w:rsidRPr="00F12420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E9CB1" w14:textId="77777777" w:rsidR="00EF735C" w:rsidRDefault="00EF735C" w:rsidP="00F76C32">
      <w:r>
        <w:separator/>
      </w:r>
    </w:p>
  </w:endnote>
  <w:endnote w:type="continuationSeparator" w:id="0">
    <w:p w14:paraId="390D72AE" w14:textId="77777777" w:rsidR="00EF735C" w:rsidRDefault="00EF735C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99C7" w14:textId="77777777" w:rsidR="00EF735C" w:rsidRDefault="00EF735C" w:rsidP="00F76C32">
      <w:r>
        <w:separator/>
      </w:r>
    </w:p>
  </w:footnote>
  <w:footnote w:type="continuationSeparator" w:id="0">
    <w:p w14:paraId="0FF7D6EB" w14:textId="77777777" w:rsidR="00EF735C" w:rsidRDefault="00EF735C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478E"/>
    <w:rsid w:val="001E4990"/>
    <w:rsid w:val="003C3ABF"/>
    <w:rsid w:val="00455B40"/>
    <w:rsid w:val="004D13EE"/>
    <w:rsid w:val="007E25A0"/>
    <w:rsid w:val="008413DB"/>
    <w:rsid w:val="00896FE8"/>
    <w:rsid w:val="009149CA"/>
    <w:rsid w:val="00965B76"/>
    <w:rsid w:val="00986E10"/>
    <w:rsid w:val="00BF60CF"/>
    <w:rsid w:val="00CE06EA"/>
    <w:rsid w:val="00D0790C"/>
    <w:rsid w:val="00EF735C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2020-07-27T14:01:00Z</dcterms:modified>
</cp:coreProperties>
</file>